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BD17B5" w:rsidRPr="00086064" w:rsidP="00BD17B5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课时二　用联系的观点看问题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对应学生用书</w:t>
      </w:r>
      <w:r w:rsidRPr="00086064">
        <w:rPr>
          <w:rFonts w:ascii="Times New Roman" w:eastAsia="SimHei" w:hAnsi="Times New Roman" w:cs="Times New Roman"/>
          <w:kern w:val="2"/>
          <w:sz w:val="24"/>
          <w:szCs w:val="24"/>
        </w:rPr>
        <w:t>P39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38275" cy="238125"/>
            <wp:effectExtent l="0" t="0" r="0" b="0"/>
            <wp:docPr id="1" name="图片 1" descr="E:\20课件\同步\119政治（必修4作业与测评教师-word\夯基础基础巩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57392" name="图片 1" descr="E:\20课件\同步\119政治（必修4作业与测评教师-word\夯基础基础巩固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．组成人体蛋白的八种氨基酸，只要有一种含量不足，其他七种就无法合成蛋白质。当缺一不可时，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一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就是一切。材料告诉我们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离开了部分，整体就不复存在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离开了整体，部分就不成其为部分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整体和部分相互联系，密不可分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整体的状态及变化会影响部分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只要有一种含量不足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其他七种就无法合成蛋白质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说明离开了部分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整体就不复存在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整体和部分相互联系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密不可分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符合题意；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说法正确但不符合题意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排除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故选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．古人云：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不谋全局者不足谋一域，不谋万世者不足谋一时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。这句话启示我们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．要看到部分影响整体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．整体离不开部分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．应当着眼整体把握大局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．必须重视局部的作用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不谋全局者不足谋一域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不谋万世者不足谋一时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这句话强调的是大局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全局的重要性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即强调的是整体居于主导地位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整体统率着部分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具有部分所不具备的功能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故应当着眼整体把握大局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符合题意；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都是强调的部分的作用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556127">
        <w:rPr>
          <w:rFonts w:ascii="楷体_GB2312" w:eastAsia="楷体_GB2312" w:hAnsi="Times New Roman" w:cs="Times New Roman" w:hint="eastAsia"/>
          <w:kern w:val="2"/>
          <w:sz w:val="24"/>
          <w:szCs w:val="24"/>
        </w:rPr>
        <w:t>答案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选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．党的十九大报告指出，要加强对中小企业创新的支持，促进科技成果转化。因为中小企业健康发展，有助于推动中国经济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稳增长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，为中国强盛贡献力量。这说明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整体由部分构成，整体离不开部分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整体统率部分，要立足局部，搞好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整体与部分之间相互联系、相互影响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部分的功能及其变化决定整体的功能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③④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材料说明整体由部分构成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整体离不开部分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整体与部分之间相互联系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相互影响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要搞好局部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用局部的发展推动整体的发展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符合题意；要立足整体而不是立足局部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说法错误；整体决定部分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部分的性能及其变化影响整体的功能发挥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而不是决定整体的功能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说法错误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正确选项为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．厨师把几种原料合理地混搭在一起，用合适的火候炒出来的菜，味道非常美妙，这种美妙是任何一种原料都不具备的。这告诉我们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要注重系统内部结构的优化趋向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关键部分功能可能会对整体功能起决定作用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整体的功能、状态及变化会影响部分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要坚持用综合思维的方式处理问题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合理地混搭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体现了系统的优化趋向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正确；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合理地混搭</w:t>
      </w:r>
      <w:r w:rsidRPr="00086064">
        <w:rPr>
          <w:rFonts w:hAnsi="SimSun" w:cs="Times New Roman"/>
          <w:kern w:val="2"/>
          <w:sz w:val="24"/>
          <w:szCs w:val="24"/>
        </w:rPr>
        <w:t>”“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合适的火候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体现了综合思维的方式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正确；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推动京津冀协同发展，必须坚持问题导向，立足各自比较优势、现代产业分工要求、区域优势互补原则与合作共赢理念，以资源环境承载能力为基础、以京津冀城市群建设为载体、以优化区域分工和产业布局为重点，着力调整优化经济结构和空间结构，着力推进产业升级转移。这其中蕴含的哲理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着眼于事物的整体，把各要素联系起来统筹考虑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发挥关键部分的功能，抓住关键带动全局发展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遵循系统内部结构有序性，发挥整体最佳功能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立足联系的多样性，发挥创新观念直接改变世界的作用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推动京津冀协同发展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体现了着眼于事物的整体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立足各自比较优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势</w:t>
      </w:r>
      <w:r w:rsidRPr="00086064">
        <w:rPr>
          <w:rFonts w:hAnsi="SimSun" w:cs="Times New Roman"/>
          <w:kern w:val="2"/>
          <w:sz w:val="24"/>
          <w:szCs w:val="24"/>
        </w:rPr>
        <w:t>”“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区域优势互补原则与合作共赢理念</w:t>
      </w:r>
      <w:r w:rsidRPr="00086064">
        <w:rPr>
          <w:rFonts w:hAnsi="SimSun" w:cs="Times New Roman"/>
          <w:kern w:val="2"/>
          <w:sz w:val="24"/>
          <w:szCs w:val="24"/>
        </w:rPr>
        <w:t>”“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优化区域分工和产业布局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体现了把各要素联系起来统筹考虑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遵循系统内部结构有序性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正确；材料中没有体现关键部分的功能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不符合题意；创新观念属于意识的范畴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意识不具有直接现实性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不能直接改变世界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47800" cy="238125"/>
            <wp:effectExtent l="0" t="0" r="0" b="0"/>
            <wp:docPr id="2" name="图片 2" descr="E:\20课件\同步\119政治（必修4作业与测评教师-word\提能力能力提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40767" name="图片 2" descr="E:\20课件\同步\119政治（必修4作业与测评教师-word\提能力能力提升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．有一位著名教育家这样说过：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高等教育是一支大乐队，名牌大学是乐队里的大钢琴，但不要只把眼光盯在大钢琴上，大提琴、小提琴都是好乐器。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这里蕴含的哲学道理是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．整体居于主导地位，统率着部分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．整体由部分构成，整体与部分相互制约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．要树立全局观念，办事情从整体着眼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．要搞好局部，使整体功能得到最大限度发挥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高等教育是一支大乐队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说明高等教育是一个整体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名牌大学是乐队里的大钢琴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说明名牌大学是高等教育中的关键部分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但不要只把眼光盯在大钢琴上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大提琴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小提琴都是好乐器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说明要重视部分的作用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由此可见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办事情要搞好局部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使整体功能得到最大限度发挥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7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．针对管理学上的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木桶原理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短板效应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，有专家提出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反木桶原理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长板效应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：木桶最长的一根木板决定了其特色与优势，在一个小范围内成为制高点。他认为应该扬长避短，把业绩建立在自己的优势资源上。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长板效应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所蕴含的哲学道理是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．发挥关键部分对整体功能的决定作用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．要重视系统内部结构的优化趋向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．部分构成整体，部分决定整体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．必须实现资源的优化合理配置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让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长板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成为制高点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体现了重视部分对整体功能的影响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发挥关键部分对整体功能的决定作用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正确；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不符合题意；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观点错误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8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．某市交警在某一区域道路实行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绿波通行带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将这一区域各路口的信号灯全部连接起来，通过计算机加以协调控制，使大部分车辆在干道上行驶的过程中，连续得到一个接一个的绿灯信号，畅通沿途所有交叉路口，大大改善了交通状况。这一做法的成功之处在于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从事物的全局着眼，使部分服从和服务于整体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充分发挥关键部分对整体功能的决定性作用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用综合思维方式统筹处理事物内部结构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处理问题坚持一切从实际出发、实事求是的原则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①②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③④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将这一区域各路口的信号灯全部连接起来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通过计算机加以协调控制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使大部分车辆在干道上行驶的过程中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连续得到一个接一个的绿灯信号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体现了从事物的全局着眼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用综合思维方式统筹处理事物内部结构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使部分服从和服务于整体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76375" cy="238125"/>
            <wp:effectExtent l="0" t="0" r="0" b="0"/>
            <wp:docPr id="3" name="图片 3" descr="E:\20课件\同步\119政治（必修4作业与测评教师-word\长一智易错纠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150647" name="图片 3" descr="E:\20课件\同步\119政治（必修4作业与测评教师-word\长一智易错纠偏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易错点一　整体功能不等于部分功能之和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生活其间，你优雅，城市便不粗俗；你精神明亮，城市便不灰暗阴沉。当文明传递在城市的每个神经末梢，流进每个居民的血液之中，我们就敢说，这是一座有品位的城市，一座宜居的城市，一座闪烁着文明之光的城市。这体现的哲学道理是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．部分的功能及其变化会影响整体的功能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．整体功能是部分功能之和，部分的发展推动整体的发展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．整体统率着部分，部分的发展服从和服务于整体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．整体和部分相互制约、相互影响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MingLiU_HKSCS" w:eastAsia="MingLiU_HKSCS" w:hAnsi="MingLiU_HKSCS" w:cs="MingLiU_HKSCS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材料中的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你</w:t>
      </w:r>
      <w:r w:rsidRPr="00086064">
        <w:rPr>
          <w:rFonts w:hAnsi="SimSun" w:cs="Times New Roman"/>
          <w:kern w:val="2"/>
          <w:sz w:val="24"/>
          <w:szCs w:val="24"/>
        </w:rPr>
        <w:t>”“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每个神经末梢</w:t>
      </w:r>
      <w:r w:rsidRPr="00086064">
        <w:rPr>
          <w:rFonts w:hAnsi="SimSun" w:cs="Times New Roman"/>
          <w:kern w:val="2"/>
          <w:sz w:val="24"/>
          <w:szCs w:val="24"/>
        </w:rPr>
        <w:t>”“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每个居民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而材料中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的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城市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体现整体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这段话反映的是部分影响整体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符合题意；不能认为整体功能就是部分功能的简单相加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排除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B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；材料未体现整体统率部分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C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不符合题意；材料体现部分对整体的作用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没有体现整体对部分的作用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D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不符合题意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故选</w:t>
      </w:r>
      <w:r w:rsidRPr="00086064">
        <w:rPr>
          <w:rFonts w:ascii="Times New Roman" w:eastAsia="仿宋_GB2312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易错警示　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题目的易错点是把整体功能等同于部分功能的简单相加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当部分以合理有序的结构构成整体时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整体功能大于各部分功能之和；反之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整体功能小于各部分功能之和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易错点二　整体功能并不必然大于部分功能之和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10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四个全面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的战略布局是党的十八大以来，党中央从坚持发展中国特色社会主义全局出发，提出并形成的。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四个全面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战略布局体现了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　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关键部分的功能对整体的功能起决定作用　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要着眼于事物的整体性，实现整体最优目标　</w:t>
      </w:r>
      <w:r w:rsidRPr="00086064">
        <w:rPr>
          <w:rFonts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事物的整体功能总是大于部分功能之和　</w:t>
      </w:r>
      <w:r w:rsidRPr="00086064">
        <w:rPr>
          <w:rFonts w:hAnsi="SimSun" w:cs="Times New Roman"/>
          <w:kern w:val="2"/>
          <w:sz w:val="24"/>
          <w:szCs w:val="24"/>
        </w:rPr>
        <w:t>④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系统优化是认识和改造世界的重要方法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B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①④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C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②③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 xml:space="preserve">  D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hAnsi="SimSun" w:cs="Times New Roman"/>
          <w:kern w:val="2"/>
          <w:sz w:val="24"/>
          <w:szCs w:val="24"/>
        </w:rPr>
        <w:t>②④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hAnsi="Times New Roman" w:cs="Times New Roman"/>
          <w:kern w:val="2"/>
          <w:sz w:val="24"/>
          <w:szCs w:val="24"/>
        </w:rPr>
        <w:t>D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MingLiU_HKSCS" w:eastAsia="MingLiU_HKSCS" w:hAnsi="MingLiU_HKSCS" w:cs="MingLiU_HKSCS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四个全面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战略布局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是中国发展起来以后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更加注重发展和治理系统性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整体性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协同性的必然选择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这启示我们树立全局观念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立足整体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统筹全局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实现最优目标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掌握系统优化的方法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用综合的思维方式认识事物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②④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符合题意；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强调部分的作用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与题意不符；</w:t>
      </w:r>
      <w:r w:rsidRPr="00086064">
        <w:rPr>
          <w:rFonts w:eastAsia="仿宋_GB2312" w:hAnsi="SimSun" w:cs="Times New Roman"/>
          <w:kern w:val="2"/>
          <w:sz w:val="24"/>
          <w:szCs w:val="24"/>
        </w:rPr>
        <w:t>③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错误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只有各个部分以合理的结构组合在一起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整体功能才大于部分功能之和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易错警示　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题目的易错点是整体功能并不一定大于部分功能之和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整体功能大于或小于部分功能之和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关键看部分以什么结构构成整体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部分以无序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欠佳的结构构成整体时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各部分原有性能得不到发挥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力量削弱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甚至相互抵消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整体功能就会小于各部分功能之和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由此可见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整体功能大于或小于部分功能之和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是有前提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有条件的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66850" cy="238125"/>
            <wp:effectExtent l="0" t="0" r="0" b="0"/>
            <wp:docPr id="4" name="图片 4" descr="E:\20课件\同步\119政治（必修4作业与测评教师-word\盯方向高考引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23305" name="图片 4" descr="E:\20课件\同步\119政治（必修4作业与测评教师-word\盯方向高考引领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11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全国卷</w:t>
      </w:r>
      <w:r w:rsidRPr="00086064">
        <w:rPr>
          <w:rFonts w:eastAsia="楷体_GB2312" w:hAnsi="SimSun" w:cs="Times New Roman"/>
          <w:kern w:val="2"/>
          <w:sz w:val="24"/>
          <w:szCs w:val="24"/>
        </w:rPr>
        <w:t>Ⅲ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)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阅读材料，回答问题。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中国是人类命运共同体理念的倡导者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党的十八大报告正式提出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倡导人类命运共同体意识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2017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年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1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月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习近平主席在联合国日内瓦总部发表题为《共同构建人类命运共同体》的主旨演讲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系统地阐述了人类命运共同体理念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2017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年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2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月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构建人类命运共同体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理念被写入联合国有关决议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中国是构建人类命运共同体的先行者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在联合国维和行动中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中国派出维和人员最多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维和摊款出资位居前列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在应对气候变化上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中国率先批准《巴黎协定》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改革开放以来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中国经济增长对世界经济增长的贡献率年均在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30%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以上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中国对全球减贫的贡献率超过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70%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中国积极推进国际合作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hAnsi="SimSun" w:cs="Times New Roman"/>
          <w:kern w:val="2"/>
          <w:sz w:val="24"/>
          <w:szCs w:val="24"/>
        </w:rPr>
        <w:t>“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一带一路</w:t>
      </w:r>
      <w:r w:rsidRPr="00086064">
        <w:rPr>
          <w:rFonts w:hAnsi="SimSun" w:cs="Times New Roman"/>
          <w:kern w:val="2"/>
          <w:sz w:val="24"/>
          <w:szCs w:val="24"/>
        </w:rPr>
        <w:t>”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倡议提出以来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已经有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100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多个国家和国际组织积极响应支持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68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个国家和国际组织同中国签署合作协议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构建人类命运共同体需要世界各国共商共建共享，结合材料，运用整体与部分的知识并结合材料加以阐述。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整体在事物的发展过程中居于主导地位，构建人类命运共同体，明确了人类发展方向，契合了世界各国对于发展的共同诉求。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部分影响整体，关键部分的功能及其变化甚至对整体的功能起决定作用。中国倡导和推动构建人类命运共同体，各国积极响应，共同参与，加强双边、多边合作，实现共赢共享。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本题以中国是人类命运共同体理念的倡导者为背景材料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设问指向构建人类命运共同体需要世界各国共商共建共享的原因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可以从整体的作用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部分对整体的作用的角度展开分析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>
            <wp:extent cx="1447800" cy="238125"/>
            <wp:effectExtent l="0" t="0" r="0" b="0"/>
            <wp:docPr id="5" name="图片 5" descr="E:\20课件\同步\119政治（必修4作业与测评教师-word\追热点学以致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19840" name="图片 5" descr="E:\20课件\同步\119政治（必修4作业与测评教师-word\追热点学以致用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MingLiU_HKSCS" w:eastAsia="MingLiU_HKSCS" w:hAnsi="MingLiU_HKSCS" w:cs="MingLiU_HKSCS"/>
          <w:kern w:val="2"/>
          <w:sz w:val="24"/>
          <w:szCs w:val="24"/>
        </w:rPr>
      </w:pPr>
      <w:smartTag w:uri="urn:schemas-microsoft-com:office:smarttags" w:element="chsdate">
        <w:smartTagPr>
          <w:attr w:name="Day" w:val="1"/>
          <w:attr w:name="IsLunarDate" w:val="False"/>
          <w:attr w:name="IsROCDate" w:val="False"/>
          <w:attr w:name="Month" w:val="1"/>
          <w:attr w:name="Year" w:val="2019"/>
        </w:smartTagPr>
        <w:r w:rsidRPr="00086064">
          <w:rPr>
            <w:rFonts w:ascii="Times New Roman" w:eastAsia="楷体_GB2312" w:hAnsi="Times New Roman" w:cs="Times New Roman"/>
            <w:kern w:val="2"/>
            <w:sz w:val="24"/>
            <w:szCs w:val="24"/>
          </w:rPr>
          <w:t>2019</w:t>
        </w:r>
        <w:r w:rsidRPr="00086064">
          <w:rPr>
            <w:rFonts w:ascii="Times New Roman" w:eastAsia="楷体_GB2312" w:hAnsi="Times New Roman" w:cs="Times New Roman" w:hint="eastAsia"/>
            <w:kern w:val="2"/>
            <w:sz w:val="24"/>
            <w:szCs w:val="24"/>
          </w:rPr>
          <w:t>年</w:t>
        </w:r>
        <w:r w:rsidRPr="00086064">
          <w:rPr>
            <w:rFonts w:ascii="Times New Roman" w:eastAsia="楷体_GB2312" w:hAnsi="Times New Roman" w:cs="Times New Roman"/>
            <w:kern w:val="2"/>
            <w:sz w:val="24"/>
            <w:szCs w:val="24"/>
          </w:rPr>
          <w:t>1</w:t>
        </w:r>
        <w:r w:rsidRPr="00086064">
          <w:rPr>
            <w:rFonts w:ascii="Times New Roman" w:eastAsia="楷体_GB2312" w:hAnsi="Times New Roman" w:cs="Times New Roman" w:hint="eastAsia"/>
            <w:kern w:val="2"/>
            <w:sz w:val="24"/>
            <w:szCs w:val="24"/>
          </w:rPr>
          <w:t>月</w:t>
        </w:r>
        <w:r w:rsidRPr="00086064">
          <w:rPr>
            <w:rFonts w:ascii="Times New Roman" w:eastAsia="楷体_GB2312" w:hAnsi="Times New Roman" w:cs="Times New Roman"/>
            <w:kern w:val="2"/>
            <w:sz w:val="24"/>
            <w:szCs w:val="24"/>
          </w:rPr>
          <w:t>1</w:t>
        </w:r>
        <w:r w:rsidRPr="00086064">
          <w:rPr>
            <w:rFonts w:ascii="Times New Roman" w:eastAsia="楷体_GB2312" w:hAnsi="Times New Roman" w:cs="Times New Roman" w:hint="eastAsia"/>
            <w:kern w:val="2"/>
            <w:sz w:val="24"/>
            <w:szCs w:val="24"/>
          </w:rPr>
          <w:t>日</w:t>
        </w:r>
      </w:smartTag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《个人所得税专项附加扣除操作办法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试行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)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》正式实施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其中子女教育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继续教育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住房贷款利息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住房租金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赡养老人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5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项专项附加扣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除均采取标准定额扣除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而非按照实际支出来扣除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大病医疗支出根据实际支出来在税前扣除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但必须在最高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60000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元的限额内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具体来看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赡养老人扣除标准额为每年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24000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(2000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元每月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)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子女教育和首套房贷款利息专项附加扣除标准为每年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12000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(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每月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1000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)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继续教育按不同类别设了每年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4800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元或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3600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元两个不同的标准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而住房租金专项附加扣除按城市类别设置三档不同的扣除标准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分别为每年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14400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12000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元和</w:t>
      </w:r>
      <w:r w:rsidRPr="00086064">
        <w:rPr>
          <w:rFonts w:ascii="Times New Roman" w:eastAsia="楷体_GB2312" w:hAnsi="Times New Roman" w:cs="Times New Roman"/>
          <w:kern w:val="2"/>
          <w:sz w:val="24"/>
          <w:szCs w:val="24"/>
        </w:rPr>
        <w:t>9600</w:t>
      </w:r>
      <w:r w:rsidRPr="00086064">
        <w:rPr>
          <w:rFonts w:ascii="Times New Roman" w:eastAsia="楷体_GB2312" w:hAnsi="Times New Roman" w:cs="Times New Roman" w:hint="eastAsia"/>
          <w:kern w:val="2"/>
          <w:sz w:val="24"/>
          <w:szCs w:val="24"/>
        </w:rPr>
        <w:t>元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086064">
        <w:rPr>
          <w:rFonts w:ascii="Times New Roman" w:hAnsi="Times New Roman" w:cs="Times New Roman"/>
          <w:kern w:val="2"/>
          <w:sz w:val="24"/>
          <w:szCs w:val="24"/>
        </w:rPr>
        <w:t>12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．结合材料，分析个人所得税改革的哲学依据。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答案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hAnsi="SimSun" w:cs="Times New Roman"/>
          <w:kern w:val="2"/>
          <w:sz w:val="24"/>
          <w:szCs w:val="24"/>
        </w:rPr>
        <w:t>①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物质决定意识，一切从实际出发，主观与客观具体的历史的统一。随着经济的发展和国家财力的增加，居民的基本生活消费水平发生了很多变化，提高个人所得税的扣除标准，增加扣除项规模，有利于人们追求美好生活。</w:t>
      </w:r>
      <w:r w:rsidRPr="00086064">
        <w:rPr>
          <w:rFonts w:hAnsi="SimSun" w:cs="Times New Roman"/>
          <w:kern w:val="2"/>
          <w:sz w:val="24"/>
          <w:szCs w:val="24"/>
        </w:rPr>
        <w:t>②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系统优化的方法要求我们用综合的思维方式认识事物，要善于分析和把握事物存在和发展的各种条件，从整体出发，把各个部分、各个要素联系起来，统筹考虑。个税标准扣除额不能仅考虑公众可支配收入，要与住房、教育、医疗等情况结合起来，保证其基本生活不受影响。</w:t>
      </w:r>
    </w:p>
    <w:p w:rsidR="00BD17B5" w:rsidRPr="00086064" w:rsidP="00BD17B5">
      <w:pPr>
        <w:pStyle w:val="PlainText1"/>
        <w:snapToGrid w:val="0"/>
        <w:spacing w:line="360" w:lineRule="auto"/>
        <w:ind w:firstLine="480"/>
        <w:rPr>
          <w:rFonts w:ascii="Times New Roman" w:eastAsia="MingLiU_HKSCS" w:hAnsi="Times New Roman" w:cs="Times New Roman"/>
          <w:kern w:val="2"/>
          <w:sz w:val="24"/>
          <w:szCs w:val="24"/>
        </w:rPr>
      </w:pPr>
      <w:r w:rsidRPr="00E668B5">
        <w:rPr>
          <w:rFonts w:ascii="Times New Roman" w:hAnsi="Times New Roman" w:cs="Times New Roman" w:hint="eastAsia"/>
          <w:color w:val="FF0000"/>
          <w:kern w:val="2"/>
          <w:sz w:val="24"/>
          <w:szCs w:val="24"/>
        </w:rPr>
        <w:t>解析</w:t>
      </w:r>
      <w:r w:rsidRPr="00086064">
        <w:rPr>
          <w:rFonts w:ascii="Times New Roman" w:eastAsia="SimHei" w:hAnsi="Times New Roman" w:cs="Times New Roman" w:hint="eastAsia"/>
          <w:kern w:val="2"/>
          <w:sz w:val="24"/>
          <w:szCs w:val="24"/>
        </w:rPr>
        <w:t>　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本题要求结合材料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分析个人所得税改革的哲学依据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可用物质决定意识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一切从实际出发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主观与客观具体的历史的统一分析说明；个人所得税改革将扣除标准与城镇居民住房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教育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医疗等情况结合起来考虑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保证普通群众基本生活水平不受影响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这表明我国个人所得税改革是一项系统工程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要统筹考虑方方面面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可用系统优化的方法要求我们用综合的思维方式认识事物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要善于分析和把握事物存在和发展的各种条件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从整体出发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把各个部分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、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各个要素联系起来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，</w:t>
      </w:r>
      <w:r w:rsidRPr="00086064">
        <w:rPr>
          <w:rFonts w:ascii="Times New Roman" w:eastAsia="仿宋_GB2312" w:hAnsi="Times New Roman" w:cs="Times New Roman" w:hint="eastAsia"/>
          <w:kern w:val="2"/>
          <w:sz w:val="24"/>
          <w:szCs w:val="24"/>
        </w:rPr>
        <w:t>统筹考虑分析说明</w:t>
      </w:r>
      <w:r w:rsidRPr="00086064">
        <w:rPr>
          <w:rFonts w:ascii="Times New Roman" w:hAnsi="Times New Roman" w:cs="Times New Roman" w:hint="eastAsia"/>
          <w:kern w:val="2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E0661"/>
    <w:rsid w:val="00086064"/>
    <w:rsid w:val="000929AA"/>
    <w:rsid w:val="000C7BC6"/>
    <w:rsid w:val="001E6F79"/>
    <w:rsid w:val="00213D4E"/>
    <w:rsid w:val="004B4F92"/>
    <w:rsid w:val="004E50F0"/>
    <w:rsid w:val="00556127"/>
    <w:rsid w:val="00591BB9"/>
    <w:rsid w:val="00754BF4"/>
    <w:rsid w:val="0078020E"/>
    <w:rsid w:val="00BD17B5"/>
    <w:rsid w:val="00DD0A85"/>
    <w:rsid w:val="00DE5427"/>
    <w:rsid w:val="00DF1CE7"/>
    <w:rsid w:val="00DF690A"/>
    <w:rsid w:val="00E55678"/>
    <w:rsid w:val="00E668B5"/>
    <w:rsid w:val="00FC44BD"/>
    <w:rsid w:val="00FE5775"/>
    <w:rsid w:val="1E7E0661"/>
    <w:rsid w:val="3DF231F4"/>
    <w:rsid w:val="554B5335"/>
    <w:rsid w:val="78FA5A8E"/>
    <w:rsid w:val="7A1B7C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1Char"/>
    <w:qFormat/>
    <w:rsid w:val="001E6F79"/>
    <w:pPr>
      <w:keepNext/>
      <w:keepLines/>
      <w:spacing w:before="340" w:after="330" w:line="578" w:lineRule="auto"/>
      <w:jc w:val="center"/>
      <w:outlineLvl w:val="0"/>
    </w:pPr>
    <w:rPr>
      <w:rFonts w:eastAsia="STXinwei"/>
      <w:b/>
      <w:bCs/>
      <w:kern w:val="44"/>
      <w:sz w:val="32"/>
      <w:szCs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Char">
    <w:name w:val="页眉 Char"/>
    <w:link w:val="Header"/>
    <w:rPr>
      <w:kern w:val="2"/>
      <w:sz w:val="18"/>
      <w:szCs w:val="18"/>
    </w:rPr>
  </w:style>
  <w:style w:type="character" w:customStyle="1" w:styleId="Char0">
    <w:name w:val="页脚 Char"/>
    <w:link w:val="Footer"/>
    <w:rPr>
      <w:kern w:val="2"/>
      <w:sz w:val="18"/>
      <w:szCs w:val="18"/>
    </w:r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PlainText">
    <w:name w:val="Plain Text"/>
    <w:basedOn w:val="Normal"/>
    <w:link w:val="Char1"/>
    <w:unhideWhenUsed/>
    <w:rsid w:val="001E6F79"/>
    <w:rPr>
      <w:rFonts w:ascii="SimSun" w:hAnsi="Courier New" w:cs="Courier New"/>
      <w:szCs w:val="21"/>
    </w:rPr>
  </w:style>
  <w:style w:type="character" w:customStyle="1" w:styleId="Char1">
    <w:name w:val="纯文本 Char1"/>
    <w:link w:val="PlainText"/>
    <w:rsid w:val="001E6F79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link w:val="Heading1"/>
    <w:rsid w:val="001E6F79"/>
    <w:rPr>
      <w:rFonts w:eastAsia="STXinwei"/>
      <w:b/>
      <w:bCs/>
      <w:kern w:val="44"/>
      <w:sz w:val="32"/>
      <w:szCs w:val="44"/>
      <w:lang w:val="en-US" w:eastAsia="zh-CN" w:bidi="ar-SA"/>
    </w:rPr>
  </w:style>
  <w:style w:type="paragraph" w:customStyle="1" w:styleId="PlainText1">
    <w:name w:val="Plain Text1"/>
    <w:basedOn w:val="Normal"/>
    <w:link w:val="Char2"/>
    <w:rsid w:val="00BD17B5"/>
    <w:rPr>
      <w:rFonts w:ascii="SimSun" w:hAnsi="Courier New" w:cs="Courier New"/>
      <w:kern w:val="0"/>
      <w:sz w:val="20"/>
      <w:szCs w:val="21"/>
    </w:rPr>
  </w:style>
  <w:style w:type="character" w:customStyle="1" w:styleId="Char2">
    <w:name w:val="纯文本 Char"/>
    <w:basedOn w:val="DefaultParagraphFont"/>
    <w:link w:val="PlainText1"/>
    <w:locked/>
    <w:rsid w:val="00BD17B5"/>
    <w:rPr>
      <w:rFonts w:ascii="SimSun" w:eastAsia="SimSun" w:hAnsi="Courier New" w:cs="Courier New"/>
      <w:szCs w:val="21"/>
      <w:lang w:val="en-US" w:eastAsia="zh-CN" w:bidi="ar-SA"/>
    </w:rPr>
  </w:style>
  <w:style w:type="paragraph" w:styleId="BalloonText">
    <w:name w:val="Balloon Text"/>
    <w:basedOn w:val="Normal"/>
    <w:link w:val="Char3"/>
    <w:rsid w:val="00FC44BD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rsid w:val="00FC44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file:///E:\20&#35838;&#20214;\&#21516;&#27493;\119&#25919;&#27835;&#65288;&#24517;&#20462;4&#20316;&#19994;&#19982;&#27979;&#35780;&#25945;&#24072;-word\&#30447;&#26041;&#21521;&#39640;&#32771;&#24341;&#39046;.TIF" TargetMode="External" /><Relationship Id="rId12" Type="http://schemas.openxmlformats.org/officeDocument/2006/relationships/image" Target="media/image5.png" /><Relationship Id="rId13" Type="http://schemas.openxmlformats.org/officeDocument/2006/relationships/image" Target="file:///E:\20&#35838;&#20214;\&#21516;&#27493;\119&#25919;&#27835;&#65288;&#24517;&#20462;4&#20316;&#19994;&#19982;&#27979;&#35780;&#25945;&#24072;-word\&#36861;&#28909;&#28857;&#23398;&#20197;&#33268;&#29992;.TIF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file:///E:\20&#35838;&#20214;\&#21516;&#27493;\119&#25919;&#27835;&#65288;&#24517;&#20462;4&#20316;&#19994;&#19982;&#27979;&#35780;&#25945;&#24072;-word\&#22831;&#22522;&#30784;&#22522;&#30784;&#24041;&#22266;.TIF" TargetMode="External" /><Relationship Id="rId6" Type="http://schemas.openxmlformats.org/officeDocument/2006/relationships/image" Target="media/image2.png" /><Relationship Id="rId7" Type="http://schemas.openxmlformats.org/officeDocument/2006/relationships/image" Target="file:///E:\20&#35838;&#20214;\&#21516;&#27493;\119&#25919;&#27835;&#65288;&#24517;&#20462;4&#20316;&#19994;&#19982;&#27979;&#35780;&#25945;&#24072;-word\&#25552;&#33021;&#21147;&#33021;&#21147;&#25552;&#21319;.TIF" TargetMode="External" /><Relationship Id="rId8" Type="http://schemas.openxmlformats.org/officeDocument/2006/relationships/image" Target="media/image3.png" /><Relationship Id="rId9" Type="http://schemas.openxmlformats.org/officeDocument/2006/relationships/image" Target="file:///E:\20&#35838;&#20214;\&#21516;&#27493;\119&#25919;&#27835;&#65288;&#24517;&#20462;4&#20316;&#19994;&#19982;&#27979;&#35780;&#25945;&#24072;-word\&#38271;&#19968;&#26234;&#26131;&#38169;&#32416;&#20559;.TIF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4430</Words>
  <Characters>286</Characters>
  <Application>Microsoft Office Word</Application>
  <DocSecurity>0</DocSecurity>
  <Lines>2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2019-07-15T14:10:00Z</dcterms:created>
  <dcterms:modified xsi:type="dcterms:W3CDTF">2019-07-15T14:10:00Z</dcterms:modified>
</cp:coreProperties>
</file>